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6717" w14:textId="77777777" w:rsidR="00544D40" w:rsidRDefault="00DC0516" w:rsidP="00544D40">
      <w:r>
        <w:t xml:space="preserve">                                                                              </w:t>
      </w:r>
      <w:r>
        <w:rPr>
          <w:noProof/>
          <w:lang w:eastAsia="nl-NL"/>
        </w:rPr>
        <w:drawing>
          <wp:inline distT="0" distB="0" distL="0" distR="0" wp14:anchorId="2CCF6CDC" wp14:editId="2C8FF722">
            <wp:extent cx="805712" cy="962378"/>
            <wp:effectExtent l="0" t="0" r="7620" b="3175"/>
            <wp:docPr id="23" name="Picture 22" descr="Logo_Edudent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Logo_Edudentaal.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712" cy="962378"/>
                    </a:xfrm>
                    <a:prstGeom prst="rect">
                      <a:avLst/>
                    </a:prstGeom>
                  </pic:spPr>
                </pic:pic>
              </a:graphicData>
            </a:graphic>
          </wp:inline>
        </w:drawing>
      </w:r>
    </w:p>
    <w:tbl>
      <w:tblPr>
        <w:tblStyle w:val="Tabelraster"/>
        <w:tblW w:w="0" w:type="auto"/>
        <w:tblLook w:val="04A0" w:firstRow="1" w:lastRow="0" w:firstColumn="1" w:lastColumn="0" w:noHBand="0" w:noVBand="1"/>
      </w:tblPr>
      <w:tblGrid>
        <w:gridCol w:w="4528"/>
        <w:gridCol w:w="4528"/>
      </w:tblGrid>
      <w:tr w:rsidR="00544D40" w14:paraId="2C52276A" w14:textId="77777777" w:rsidTr="00DC0516">
        <w:tc>
          <w:tcPr>
            <w:tcW w:w="4528" w:type="dxa"/>
          </w:tcPr>
          <w:p w14:paraId="2D6794A7" w14:textId="77777777" w:rsidR="00544D40" w:rsidRPr="00425D38" w:rsidRDefault="00544D40" w:rsidP="00192C7D">
            <w:pPr>
              <w:rPr>
                <w:b/>
                <w:color w:val="1F497D"/>
                <w:sz w:val="28"/>
                <w:szCs w:val="28"/>
              </w:rPr>
            </w:pPr>
            <w:bookmarkStart w:id="0" w:name="_GoBack"/>
            <w:bookmarkEnd w:id="0"/>
            <w:r w:rsidRPr="00425D38">
              <w:rPr>
                <w:b/>
                <w:color w:val="1F497D"/>
                <w:sz w:val="28"/>
                <w:szCs w:val="28"/>
              </w:rPr>
              <w:t>Naam spreker</w:t>
            </w:r>
            <w:r w:rsidR="00AD5438">
              <w:rPr>
                <w:b/>
                <w:color w:val="1F497D"/>
                <w:sz w:val="28"/>
                <w:szCs w:val="28"/>
              </w:rPr>
              <w:t>s</w:t>
            </w:r>
          </w:p>
          <w:p w14:paraId="79BEA674" w14:textId="77777777" w:rsidR="00544D40" w:rsidRDefault="00544D40" w:rsidP="00192C7D">
            <w:pPr>
              <w:rPr>
                <w:b/>
                <w:color w:val="1F497D"/>
                <w:sz w:val="28"/>
                <w:szCs w:val="28"/>
              </w:rPr>
            </w:pPr>
          </w:p>
        </w:tc>
        <w:tc>
          <w:tcPr>
            <w:tcW w:w="4528" w:type="dxa"/>
          </w:tcPr>
          <w:p w14:paraId="22049D8A" w14:textId="77777777" w:rsidR="00544D40" w:rsidRDefault="00544D40" w:rsidP="00192C7D">
            <w:pPr>
              <w:rPr>
                <w:b/>
                <w:color w:val="1F497D"/>
                <w:sz w:val="28"/>
                <w:szCs w:val="28"/>
              </w:rPr>
            </w:pPr>
            <w:r>
              <w:rPr>
                <w:b/>
                <w:color w:val="1F497D"/>
                <w:sz w:val="28"/>
                <w:szCs w:val="28"/>
              </w:rPr>
              <w:t>Ronald Muts Tandarts</w:t>
            </w:r>
          </w:p>
          <w:p w14:paraId="261C721A" w14:textId="77777777" w:rsidR="00AD5438" w:rsidRDefault="00AD5438" w:rsidP="00192C7D">
            <w:pPr>
              <w:rPr>
                <w:b/>
                <w:color w:val="1F497D"/>
                <w:sz w:val="28"/>
                <w:szCs w:val="28"/>
              </w:rPr>
            </w:pPr>
            <w:r>
              <w:rPr>
                <w:b/>
                <w:color w:val="1F497D"/>
                <w:sz w:val="28"/>
                <w:szCs w:val="28"/>
              </w:rPr>
              <w:t xml:space="preserve">Prof. Dr. A.J. van </w:t>
            </w:r>
            <w:proofErr w:type="spellStart"/>
            <w:r>
              <w:rPr>
                <w:b/>
                <w:color w:val="1F497D"/>
                <w:sz w:val="28"/>
                <w:szCs w:val="28"/>
              </w:rPr>
              <w:t>Winkelhoff</w:t>
            </w:r>
            <w:proofErr w:type="spellEnd"/>
          </w:p>
        </w:tc>
      </w:tr>
      <w:tr w:rsidR="00544D40" w14:paraId="5DEF5A12" w14:textId="77777777" w:rsidTr="00DC0516">
        <w:tc>
          <w:tcPr>
            <w:tcW w:w="4528" w:type="dxa"/>
          </w:tcPr>
          <w:p w14:paraId="66BECA6C" w14:textId="77777777" w:rsidR="00544D40" w:rsidRPr="00425D38" w:rsidRDefault="00544D40" w:rsidP="00192C7D">
            <w:pPr>
              <w:rPr>
                <w:b/>
                <w:color w:val="1F497D"/>
                <w:sz w:val="28"/>
                <w:szCs w:val="28"/>
              </w:rPr>
            </w:pPr>
            <w:r w:rsidRPr="00425D38">
              <w:rPr>
                <w:b/>
                <w:color w:val="1F497D"/>
                <w:sz w:val="28"/>
                <w:szCs w:val="28"/>
              </w:rPr>
              <w:t>Cursus</w:t>
            </w:r>
            <w:r>
              <w:rPr>
                <w:b/>
                <w:color w:val="1F497D"/>
                <w:sz w:val="28"/>
                <w:szCs w:val="28"/>
              </w:rPr>
              <w:t>naam</w:t>
            </w:r>
          </w:p>
          <w:p w14:paraId="406884ED" w14:textId="77777777" w:rsidR="00544D40" w:rsidRDefault="00544D40" w:rsidP="00192C7D">
            <w:pPr>
              <w:rPr>
                <w:b/>
                <w:color w:val="1F497D"/>
                <w:sz w:val="28"/>
                <w:szCs w:val="28"/>
              </w:rPr>
            </w:pPr>
          </w:p>
        </w:tc>
        <w:tc>
          <w:tcPr>
            <w:tcW w:w="4528" w:type="dxa"/>
          </w:tcPr>
          <w:p w14:paraId="04C03CF6" w14:textId="77777777" w:rsidR="00544D40" w:rsidRDefault="00544D40" w:rsidP="00192C7D">
            <w:pPr>
              <w:rPr>
                <w:b/>
                <w:color w:val="1F497D"/>
                <w:sz w:val="28"/>
                <w:szCs w:val="28"/>
              </w:rPr>
            </w:pPr>
            <w:r>
              <w:rPr>
                <w:b/>
                <w:color w:val="1F497D"/>
                <w:sz w:val="28"/>
                <w:szCs w:val="28"/>
              </w:rPr>
              <w:t xml:space="preserve">Vitamine D </w:t>
            </w:r>
            <w:proofErr w:type="spellStart"/>
            <w:r w:rsidRPr="00544D40">
              <w:rPr>
                <w:b/>
                <w:color w:val="1F497D"/>
                <w:sz w:val="20"/>
                <w:szCs w:val="20"/>
              </w:rPr>
              <w:t>andmore</w:t>
            </w:r>
            <w:proofErr w:type="spellEnd"/>
            <w:r>
              <w:rPr>
                <w:b/>
                <w:color w:val="1F497D"/>
                <w:sz w:val="28"/>
                <w:szCs w:val="28"/>
              </w:rPr>
              <w:t xml:space="preserve"> in de (mond)zorg</w:t>
            </w:r>
          </w:p>
        </w:tc>
      </w:tr>
      <w:tr w:rsidR="00544D40" w14:paraId="70DAE263" w14:textId="77777777" w:rsidTr="00DC0516">
        <w:tc>
          <w:tcPr>
            <w:tcW w:w="4528" w:type="dxa"/>
          </w:tcPr>
          <w:p w14:paraId="425F40ED" w14:textId="77777777" w:rsidR="00544D40" w:rsidRPr="00425D38" w:rsidRDefault="00544D40" w:rsidP="00192C7D">
            <w:pPr>
              <w:rPr>
                <w:b/>
                <w:color w:val="1F497D"/>
                <w:sz w:val="28"/>
                <w:szCs w:val="28"/>
              </w:rPr>
            </w:pPr>
            <w:r w:rsidRPr="00425D38">
              <w:rPr>
                <w:b/>
                <w:color w:val="1F497D"/>
                <w:sz w:val="28"/>
                <w:szCs w:val="28"/>
              </w:rPr>
              <w:t>Cursusdatum</w:t>
            </w:r>
          </w:p>
          <w:p w14:paraId="5B4A9C83" w14:textId="77777777" w:rsidR="00544D40" w:rsidRDefault="00544D40" w:rsidP="00192C7D">
            <w:pPr>
              <w:rPr>
                <w:b/>
                <w:color w:val="1F497D"/>
                <w:sz w:val="28"/>
                <w:szCs w:val="28"/>
              </w:rPr>
            </w:pPr>
          </w:p>
        </w:tc>
        <w:tc>
          <w:tcPr>
            <w:tcW w:w="4528" w:type="dxa"/>
          </w:tcPr>
          <w:p w14:paraId="58633451" w14:textId="77777777" w:rsidR="00544D40" w:rsidRDefault="00544D40" w:rsidP="00192C7D">
            <w:pPr>
              <w:rPr>
                <w:b/>
                <w:color w:val="1F497D"/>
                <w:sz w:val="28"/>
                <w:szCs w:val="28"/>
              </w:rPr>
            </w:pPr>
            <w:r>
              <w:rPr>
                <w:b/>
                <w:color w:val="1F497D"/>
                <w:sz w:val="28"/>
                <w:szCs w:val="28"/>
              </w:rPr>
              <w:t>13 november 2019</w:t>
            </w:r>
          </w:p>
        </w:tc>
      </w:tr>
      <w:tr w:rsidR="00544D40" w14:paraId="4FDB9BA3" w14:textId="77777777" w:rsidTr="00DC0516">
        <w:tc>
          <w:tcPr>
            <w:tcW w:w="4528" w:type="dxa"/>
          </w:tcPr>
          <w:p w14:paraId="182BDD70" w14:textId="77777777" w:rsidR="00544D40" w:rsidRPr="00425D38" w:rsidRDefault="00544D40" w:rsidP="00192C7D">
            <w:pPr>
              <w:rPr>
                <w:b/>
                <w:color w:val="1F497D"/>
                <w:sz w:val="28"/>
                <w:szCs w:val="28"/>
              </w:rPr>
            </w:pPr>
            <w:r w:rsidRPr="00425D38">
              <w:rPr>
                <w:b/>
                <w:color w:val="1F497D"/>
                <w:sz w:val="28"/>
                <w:szCs w:val="28"/>
              </w:rPr>
              <w:t>Tijd bijeenkomst</w:t>
            </w:r>
          </w:p>
          <w:p w14:paraId="65DAD3B3" w14:textId="77777777" w:rsidR="00544D40" w:rsidRDefault="00544D40" w:rsidP="00192C7D">
            <w:pPr>
              <w:rPr>
                <w:b/>
                <w:color w:val="1F497D"/>
                <w:sz w:val="28"/>
                <w:szCs w:val="28"/>
              </w:rPr>
            </w:pPr>
          </w:p>
        </w:tc>
        <w:tc>
          <w:tcPr>
            <w:tcW w:w="4528" w:type="dxa"/>
          </w:tcPr>
          <w:p w14:paraId="16F854D8" w14:textId="77777777" w:rsidR="00544D40" w:rsidRDefault="00544D40" w:rsidP="00AD5438">
            <w:pPr>
              <w:rPr>
                <w:b/>
                <w:color w:val="1F497D"/>
                <w:sz w:val="28"/>
                <w:szCs w:val="28"/>
              </w:rPr>
            </w:pPr>
            <w:r>
              <w:rPr>
                <w:b/>
                <w:color w:val="1F497D"/>
                <w:sz w:val="28"/>
                <w:szCs w:val="28"/>
              </w:rPr>
              <w:t xml:space="preserve">19.00 – </w:t>
            </w:r>
            <w:r w:rsidR="00AD5438">
              <w:rPr>
                <w:b/>
                <w:color w:val="1F497D"/>
                <w:sz w:val="28"/>
                <w:szCs w:val="28"/>
              </w:rPr>
              <w:t>22.15</w:t>
            </w:r>
            <w:r w:rsidR="0084501F">
              <w:rPr>
                <w:b/>
                <w:color w:val="1F497D"/>
                <w:sz w:val="28"/>
                <w:szCs w:val="28"/>
              </w:rPr>
              <w:t xml:space="preserve"> uur</w:t>
            </w:r>
          </w:p>
        </w:tc>
      </w:tr>
      <w:tr w:rsidR="00544D40" w14:paraId="2AFC589E" w14:textId="77777777" w:rsidTr="00DC0516">
        <w:tc>
          <w:tcPr>
            <w:tcW w:w="4528" w:type="dxa"/>
          </w:tcPr>
          <w:p w14:paraId="36EEACC2" w14:textId="77777777" w:rsidR="00544D40" w:rsidRDefault="00544D40" w:rsidP="00192C7D">
            <w:pPr>
              <w:rPr>
                <w:b/>
                <w:color w:val="1F497D"/>
                <w:sz w:val="28"/>
                <w:szCs w:val="28"/>
              </w:rPr>
            </w:pPr>
            <w:r w:rsidRPr="00425D38">
              <w:rPr>
                <w:b/>
                <w:color w:val="1F497D"/>
                <w:sz w:val="28"/>
                <w:szCs w:val="28"/>
              </w:rPr>
              <w:t xml:space="preserve">Beknopte beschrijving </w:t>
            </w:r>
            <w:r>
              <w:rPr>
                <w:b/>
                <w:color w:val="1F497D"/>
                <w:sz w:val="28"/>
                <w:szCs w:val="28"/>
              </w:rPr>
              <w:t xml:space="preserve">bijeenkomst + indeling van de avond </w:t>
            </w:r>
          </w:p>
        </w:tc>
        <w:tc>
          <w:tcPr>
            <w:tcW w:w="4528" w:type="dxa"/>
          </w:tcPr>
          <w:p w14:paraId="7D666192" w14:textId="77777777" w:rsidR="00544D40" w:rsidRDefault="00544D40" w:rsidP="00192C7D">
            <w:pPr>
              <w:rPr>
                <w:color w:val="000000" w:themeColor="text1"/>
              </w:rPr>
            </w:pPr>
            <w:r w:rsidRPr="00A7539E">
              <w:rPr>
                <w:color w:val="000000" w:themeColor="text1"/>
              </w:rPr>
              <w:t xml:space="preserve">De relatie tussen lifestyle en voeding aan de ene kant en </w:t>
            </w:r>
            <w:r>
              <w:rPr>
                <w:color w:val="000000" w:themeColor="text1"/>
              </w:rPr>
              <w:t>(</w:t>
            </w:r>
            <w:r w:rsidRPr="00A7539E">
              <w:rPr>
                <w:color w:val="000000" w:themeColor="text1"/>
              </w:rPr>
              <w:t>mond</w:t>
            </w:r>
            <w:r>
              <w:rPr>
                <w:color w:val="000000" w:themeColor="text1"/>
              </w:rPr>
              <w:t>)</w:t>
            </w:r>
            <w:r w:rsidRPr="00A7539E">
              <w:rPr>
                <w:color w:val="000000" w:themeColor="text1"/>
              </w:rPr>
              <w:t xml:space="preserve">gezondheid aan de andere kant komt steeds meer in de belangstelling te staan. Vaak spelen tekorten hierbij een belangrijke rol. Hoe ontstaan tekorten en welke invloed kunnen die tekorten hebben op onze </w:t>
            </w:r>
            <w:r>
              <w:rPr>
                <w:color w:val="000000" w:themeColor="text1"/>
              </w:rPr>
              <w:t>(</w:t>
            </w:r>
            <w:r w:rsidRPr="00A7539E">
              <w:rPr>
                <w:color w:val="000000" w:themeColor="text1"/>
              </w:rPr>
              <w:t>mond</w:t>
            </w:r>
            <w:r>
              <w:rPr>
                <w:color w:val="000000" w:themeColor="text1"/>
              </w:rPr>
              <w:t>)</w:t>
            </w:r>
            <w:r w:rsidRPr="00A7539E">
              <w:rPr>
                <w:color w:val="000000" w:themeColor="text1"/>
              </w:rPr>
              <w:t xml:space="preserve">gezondheid of op het succes van een </w:t>
            </w:r>
            <w:r>
              <w:rPr>
                <w:color w:val="000000" w:themeColor="text1"/>
              </w:rPr>
              <w:t>(</w:t>
            </w:r>
            <w:r w:rsidRPr="00A7539E">
              <w:rPr>
                <w:color w:val="000000" w:themeColor="text1"/>
              </w:rPr>
              <w:t>tand</w:t>
            </w:r>
            <w:r>
              <w:rPr>
                <w:color w:val="000000" w:themeColor="text1"/>
              </w:rPr>
              <w:t>)</w:t>
            </w:r>
            <w:r w:rsidRPr="00A7539E">
              <w:rPr>
                <w:color w:val="000000" w:themeColor="text1"/>
              </w:rPr>
              <w:t xml:space="preserve">heelkundige behandeling? Welke rol kan vitamine D bijvoorbeeld spelen in cariëspreventie en hoe kunnen we vitamine D eenvoudig meten bij onze patiënten in de </w:t>
            </w:r>
            <w:r>
              <w:rPr>
                <w:color w:val="000000" w:themeColor="text1"/>
              </w:rPr>
              <w:t>(</w:t>
            </w:r>
            <w:r w:rsidRPr="00A7539E">
              <w:rPr>
                <w:color w:val="000000" w:themeColor="text1"/>
              </w:rPr>
              <w:t>tandarts</w:t>
            </w:r>
            <w:r>
              <w:rPr>
                <w:color w:val="000000" w:themeColor="text1"/>
              </w:rPr>
              <w:t>)</w:t>
            </w:r>
            <w:r w:rsidRPr="00A7539E">
              <w:rPr>
                <w:color w:val="000000" w:themeColor="text1"/>
              </w:rPr>
              <w:t>praktijk? Deze lezing geeft ook inzicht in de werking van het botmetabolisme waarmee een tandarts</w:t>
            </w:r>
            <w:r>
              <w:rPr>
                <w:color w:val="000000" w:themeColor="text1"/>
              </w:rPr>
              <w:t>, arts</w:t>
            </w:r>
            <w:r w:rsidRPr="00A7539E">
              <w:rPr>
                <w:color w:val="000000" w:themeColor="text1"/>
              </w:rPr>
              <w:t xml:space="preserve"> of </w:t>
            </w:r>
            <w:proofErr w:type="spellStart"/>
            <w:r w:rsidRPr="00A7539E">
              <w:rPr>
                <w:color w:val="000000" w:themeColor="text1"/>
              </w:rPr>
              <w:t>mondhygienist</w:t>
            </w:r>
            <w:proofErr w:type="spellEnd"/>
            <w:r w:rsidRPr="00A7539E">
              <w:rPr>
                <w:color w:val="000000" w:themeColor="text1"/>
              </w:rPr>
              <w:t xml:space="preserve"> elke dag te maken heeft. Met dit inzicht kunnen de succespercentages van parodontale en </w:t>
            </w:r>
            <w:proofErr w:type="spellStart"/>
            <w:r w:rsidRPr="00A7539E">
              <w:rPr>
                <w:color w:val="000000" w:themeColor="text1"/>
              </w:rPr>
              <w:t>implantologische</w:t>
            </w:r>
            <w:proofErr w:type="spellEnd"/>
            <w:r w:rsidRPr="00A7539E">
              <w:rPr>
                <w:color w:val="000000" w:themeColor="text1"/>
              </w:rPr>
              <w:t xml:space="preserve"> behandelingen in de praktijk verbeterd worden.</w:t>
            </w:r>
            <w:r w:rsidR="00F85F62">
              <w:rPr>
                <w:color w:val="000000" w:themeColor="text1"/>
              </w:rPr>
              <w:t xml:space="preserve"> De lezing is primair bedoeld voor het tandheelkundig team, maar ook algemeen van aard en de opgedane kennis is zeer toepasbaar voor artsen in de algemene praktijk.</w:t>
            </w:r>
          </w:p>
          <w:p w14:paraId="5BBA08BC" w14:textId="77777777" w:rsidR="00D53D3A" w:rsidRDefault="00D53D3A" w:rsidP="00D53D3A">
            <w:pPr>
              <w:spacing w:after="0" w:line="240" w:lineRule="auto"/>
              <w:rPr>
                <w:color w:val="000000" w:themeColor="text1"/>
              </w:rPr>
            </w:pPr>
            <w:r>
              <w:rPr>
                <w:color w:val="000000" w:themeColor="text1"/>
              </w:rPr>
              <w:t>Ontvangst: 18.00 uur</w:t>
            </w:r>
          </w:p>
          <w:p w14:paraId="0AEE0751" w14:textId="77777777" w:rsidR="00544D40" w:rsidRPr="00A7539E" w:rsidRDefault="00544D40" w:rsidP="00192C7D">
            <w:pPr>
              <w:rPr>
                <w:color w:val="000000" w:themeColor="text1"/>
              </w:rPr>
            </w:pPr>
            <w:proofErr w:type="gramStart"/>
            <w:r>
              <w:rPr>
                <w:color w:val="000000" w:themeColor="text1"/>
              </w:rPr>
              <w:t xml:space="preserve">Aanvang: </w:t>
            </w:r>
            <w:r w:rsidR="00D53D3A">
              <w:rPr>
                <w:color w:val="000000" w:themeColor="text1"/>
              </w:rPr>
              <w:t xml:space="preserve">  </w:t>
            </w:r>
            <w:proofErr w:type="gramEnd"/>
            <w:r w:rsidR="00D53D3A">
              <w:rPr>
                <w:color w:val="000000" w:themeColor="text1"/>
              </w:rPr>
              <w:t xml:space="preserve"> </w:t>
            </w:r>
            <w:r>
              <w:rPr>
                <w:color w:val="000000" w:themeColor="text1"/>
              </w:rPr>
              <w:t>19.00 uur</w:t>
            </w:r>
            <w:r>
              <w:rPr>
                <w:color w:val="000000" w:themeColor="text1"/>
              </w:rPr>
              <w:br/>
              <w:t>pauz</w:t>
            </w:r>
            <w:r w:rsidR="00AD5438">
              <w:rPr>
                <w:color w:val="000000" w:themeColor="text1"/>
              </w:rPr>
              <w:t xml:space="preserve">e: </w:t>
            </w:r>
            <w:r w:rsidR="00D53D3A">
              <w:rPr>
                <w:color w:val="000000" w:themeColor="text1"/>
              </w:rPr>
              <w:t xml:space="preserve">        </w:t>
            </w:r>
            <w:r w:rsidR="00AD5438">
              <w:rPr>
                <w:color w:val="000000" w:themeColor="text1"/>
              </w:rPr>
              <w:t>20.15 – 20.30 uur</w:t>
            </w:r>
            <w:r w:rsidR="00AD5438">
              <w:rPr>
                <w:color w:val="000000" w:themeColor="text1"/>
              </w:rPr>
              <w:br/>
              <w:t xml:space="preserve">einde: </w:t>
            </w:r>
            <w:r w:rsidR="00D53D3A">
              <w:rPr>
                <w:color w:val="000000" w:themeColor="text1"/>
              </w:rPr>
              <w:t xml:space="preserve">         </w:t>
            </w:r>
            <w:r w:rsidR="00AD5438">
              <w:rPr>
                <w:color w:val="000000" w:themeColor="text1"/>
              </w:rPr>
              <w:t>22.15</w:t>
            </w:r>
            <w:r>
              <w:rPr>
                <w:color w:val="000000" w:themeColor="text1"/>
              </w:rPr>
              <w:t xml:space="preserve"> uur</w:t>
            </w:r>
          </w:p>
          <w:p w14:paraId="689B5AEE" w14:textId="77777777" w:rsidR="00544D40" w:rsidRPr="00A7539E" w:rsidRDefault="00544D40" w:rsidP="00192C7D">
            <w:pPr>
              <w:rPr>
                <w:b/>
                <w:color w:val="1F497D"/>
              </w:rPr>
            </w:pPr>
          </w:p>
        </w:tc>
      </w:tr>
      <w:tr w:rsidR="00544D40" w14:paraId="11BE5276" w14:textId="77777777" w:rsidTr="00DC0516">
        <w:tc>
          <w:tcPr>
            <w:tcW w:w="4528" w:type="dxa"/>
          </w:tcPr>
          <w:p w14:paraId="2DE07E6A" w14:textId="77777777" w:rsidR="00544D40" w:rsidRPr="00425D38" w:rsidRDefault="00544D40" w:rsidP="00192C7D">
            <w:pPr>
              <w:rPr>
                <w:b/>
                <w:sz w:val="28"/>
                <w:szCs w:val="28"/>
              </w:rPr>
            </w:pPr>
            <w:r w:rsidRPr="00425D38">
              <w:rPr>
                <w:b/>
                <w:color w:val="1F497D"/>
                <w:sz w:val="28"/>
                <w:szCs w:val="28"/>
              </w:rPr>
              <w:lastRenderedPageBreak/>
              <w:t>Leerdoelen</w:t>
            </w:r>
          </w:p>
          <w:p w14:paraId="185E7A42" w14:textId="77777777" w:rsidR="00544D40" w:rsidRPr="00425D38" w:rsidRDefault="00544D40" w:rsidP="00192C7D">
            <w:pPr>
              <w:rPr>
                <w:b/>
                <w:color w:val="1F497D"/>
                <w:sz w:val="28"/>
                <w:szCs w:val="28"/>
              </w:rPr>
            </w:pPr>
          </w:p>
        </w:tc>
        <w:tc>
          <w:tcPr>
            <w:tcW w:w="4528" w:type="dxa"/>
          </w:tcPr>
          <w:p w14:paraId="7B84EFF8" w14:textId="77777777" w:rsidR="00544D40" w:rsidRDefault="00544D40" w:rsidP="00544D40">
            <w:pPr>
              <w:pStyle w:val="Lijstalinea"/>
              <w:numPr>
                <w:ilvl w:val="0"/>
                <w:numId w:val="1"/>
              </w:numPr>
              <w:rPr>
                <w:color w:val="1F497D"/>
              </w:rPr>
            </w:pPr>
            <w:r w:rsidRPr="00A7539E">
              <w:rPr>
                <w:color w:val="1F497D"/>
              </w:rPr>
              <w:t>Inzicht in het ontstaan van tekorten</w:t>
            </w:r>
          </w:p>
          <w:p w14:paraId="35F6ED90" w14:textId="77777777" w:rsidR="00544D40" w:rsidRPr="00A7539E" w:rsidRDefault="00544D40" w:rsidP="00544D40">
            <w:pPr>
              <w:pStyle w:val="Lijstalinea"/>
              <w:numPr>
                <w:ilvl w:val="0"/>
                <w:numId w:val="1"/>
              </w:numPr>
              <w:rPr>
                <w:color w:val="1F497D"/>
              </w:rPr>
            </w:pPr>
            <w:r>
              <w:rPr>
                <w:color w:val="1F497D"/>
              </w:rPr>
              <w:t>Waarom die tekorten leiden tot een verstoorde balans</w:t>
            </w:r>
          </w:p>
          <w:p w14:paraId="5D047983" w14:textId="77777777" w:rsidR="00544D40" w:rsidRDefault="00544D40" w:rsidP="00544D40">
            <w:pPr>
              <w:pStyle w:val="Lijstalinea"/>
              <w:numPr>
                <w:ilvl w:val="0"/>
                <w:numId w:val="1"/>
              </w:numPr>
              <w:rPr>
                <w:color w:val="1F497D"/>
              </w:rPr>
            </w:pPr>
            <w:proofErr w:type="spellStart"/>
            <w:r>
              <w:rPr>
                <w:color w:val="1F497D"/>
              </w:rPr>
              <w:t>Evidence</w:t>
            </w:r>
            <w:proofErr w:type="spellEnd"/>
            <w:r>
              <w:rPr>
                <w:color w:val="1F497D"/>
              </w:rPr>
              <w:t xml:space="preserve"> </w:t>
            </w:r>
            <w:proofErr w:type="spellStart"/>
            <w:r>
              <w:rPr>
                <w:color w:val="1F497D"/>
              </w:rPr>
              <w:t>based</w:t>
            </w:r>
            <w:proofErr w:type="spellEnd"/>
            <w:r>
              <w:rPr>
                <w:color w:val="1F497D"/>
              </w:rPr>
              <w:t xml:space="preserve"> i</w:t>
            </w:r>
            <w:r w:rsidRPr="00A7539E">
              <w:rPr>
                <w:color w:val="1F497D"/>
              </w:rPr>
              <w:t xml:space="preserve">nzicht in </w:t>
            </w:r>
            <w:r>
              <w:rPr>
                <w:color w:val="1F497D"/>
              </w:rPr>
              <w:t xml:space="preserve">het belang van vitamine D in de (mond)zorg </w:t>
            </w:r>
          </w:p>
          <w:p w14:paraId="0FB68C61" w14:textId="77777777" w:rsidR="00544D40" w:rsidRDefault="00544D40" w:rsidP="00544D40">
            <w:pPr>
              <w:pStyle w:val="Lijstalinea"/>
              <w:numPr>
                <w:ilvl w:val="0"/>
                <w:numId w:val="1"/>
              </w:numPr>
              <w:rPr>
                <w:color w:val="1F497D"/>
              </w:rPr>
            </w:pPr>
            <w:r>
              <w:rPr>
                <w:color w:val="1F497D"/>
              </w:rPr>
              <w:t>Hoe kan ik zelf eenvoudig vitamine D meten in de praktijk</w:t>
            </w:r>
          </w:p>
          <w:p w14:paraId="69342D64" w14:textId="77777777" w:rsidR="00544D40" w:rsidRPr="00A7539E" w:rsidRDefault="00544D40" w:rsidP="00544D40">
            <w:pPr>
              <w:pStyle w:val="Lijstalinea"/>
              <w:numPr>
                <w:ilvl w:val="0"/>
                <w:numId w:val="1"/>
              </w:numPr>
              <w:rPr>
                <w:color w:val="1F497D"/>
              </w:rPr>
            </w:pPr>
            <w:r>
              <w:rPr>
                <w:color w:val="1F497D"/>
              </w:rPr>
              <w:t>Hoe en wat kun je suppleren in de praktijk.</w:t>
            </w:r>
          </w:p>
        </w:tc>
      </w:tr>
      <w:tr w:rsidR="00544D40" w14:paraId="263D1C32" w14:textId="77777777" w:rsidTr="00DC0516">
        <w:tc>
          <w:tcPr>
            <w:tcW w:w="4528" w:type="dxa"/>
          </w:tcPr>
          <w:p w14:paraId="4D6E3961" w14:textId="77777777" w:rsidR="00544D40" w:rsidRDefault="00544D40" w:rsidP="00192C7D">
            <w:pPr>
              <w:rPr>
                <w:b/>
                <w:color w:val="1F497D"/>
                <w:sz w:val="28"/>
                <w:szCs w:val="28"/>
              </w:rPr>
            </w:pPr>
            <w:r>
              <w:rPr>
                <w:b/>
                <w:color w:val="1F497D"/>
                <w:sz w:val="28"/>
                <w:szCs w:val="28"/>
              </w:rPr>
              <w:t>Competenties</w:t>
            </w:r>
          </w:p>
          <w:p w14:paraId="189C2724" w14:textId="77777777" w:rsidR="00544D40" w:rsidRPr="00425D38" w:rsidRDefault="00544D40" w:rsidP="00192C7D">
            <w:pPr>
              <w:rPr>
                <w:b/>
                <w:color w:val="1F497D"/>
                <w:sz w:val="28"/>
                <w:szCs w:val="28"/>
              </w:rPr>
            </w:pPr>
          </w:p>
        </w:tc>
        <w:tc>
          <w:tcPr>
            <w:tcW w:w="4528" w:type="dxa"/>
          </w:tcPr>
          <w:p w14:paraId="39964EF2" w14:textId="77777777" w:rsidR="00544D40" w:rsidRPr="00C24ACA" w:rsidRDefault="00544D40" w:rsidP="00544D40">
            <w:pPr>
              <w:pStyle w:val="Tekstzonderopmaak"/>
              <w:numPr>
                <w:ilvl w:val="0"/>
                <w:numId w:val="1"/>
              </w:numPr>
              <w:rPr>
                <w:color w:val="1F3864" w:themeColor="accent1" w:themeShade="80"/>
                <w:sz w:val="28"/>
                <w:szCs w:val="28"/>
              </w:rPr>
            </w:pPr>
            <w:r w:rsidRPr="00C24ACA">
              <w:rPr>
                <w:color w:val="1F3864" w:themeColor="accent1" w:themeShade="80"/>
                <w:sz w:val="28"/>
                <w:szCs w:val="28"/>
              </w:rPr>
              <w:t>Mondzorg</w:t>
            </w:r>
          </w:p>
          <w:p w14:paraId="565F5C99" w14:textId="77777777" w:rsidR="00544D40" w:rsidRPr="00C24ACA" w:rsidRDefault="00544D40" w:rsidP="00544D40">
            <w:pPr>
              <w:pStyle w:val="Tekstzonderopmaak"/>
              <w:numPr>
                <w:ilvl w:val="0"/>
                <w:numId w:val="1"/>
              </w:numPr>
              <w:rPr>
                <w:color w:val="1F3864" w:themeColor="accent1" w:themeShade="80"/>
                <w:sz w:val="28"/>
                <w:szCs w:val="28"/>
              </w:rPr>
            </w:pPr>
            <w:r>
              <w:rPr>
                <w:color w:val="1F3864" w:themeColor="accent1" w:themeShade="80"/>
                <w:sz w:val="28"/>
                <w:szCs w:val="28"/>
              </w:rPr>
              <w:t>Lifestyle</w:t>
            </w:r>
          </w:p>
          <w:p w14:paraId="23704CC0" w14:textId="77777777" w:rsidR="00544D40" w:rsidRPr="00D90757" w:rsidRDefault="00544D40" w:rsidP="00544D40">
            <w:pPr>
              <w:pStyle w:val="Tekstzonderopmaak"/>
              <w:numPr>
                <w:ilvl w:val="0"/>
                <w:numId w:val="1"/>
              </w:numPr>
              <w:rPr>
                <w:b/>
                <w:color w:val="1F497D"/>
                <w:sz w:val="28"/>
                <w:szCs w:val="28"/>
              </w:rPr>
            </w:pPr>
            <w:r w:rsidRPr="00C24ACA">
              <w:rPr>
                <w:color w:val="1F3864" w:themeColor="accent1" w:themeShade="80"/>
                <w:sz w:val="28"/>
                <w:szCs w:val="28"/>
              </w:rPr>
              <w:t>Kennis en wetenschap</w:t>
            </w:r>
          </w:p>
        </w:tc>
      </w:tr>
    </w:tbl>
    <w:p w14:paraId="116F77B8" w14:textId="77777777" w:rsidR="00544D40" w:rsidRPr="00425D38" w:rsidRDefault="00544D40" w:rsidP="00544D40">
      <w:pPr>
        <w:rPr>
          <w:b/>
          <w:sz w:val="28"/>
          <w:szCs w:val="28"/>
        </w:rPr>
      </w:pPr>
    </w:p>
    <w:p w14:paraId="7C50813E" w14:textId="77777777" w:rsidR="00544D40" w:rsidRDefault="00544D40" w:rsidP="00544D40">
      <w:pPr>
        <w:rPr>
          <w:b/>
          <w:color w:val="7F7F7F" w:themeColor="text1" w:themeTint="80"/>
          <w:sz w:val="28"/>
          <w:szCs w:val="28"/>
        </w:rPr>
      </w:pPr>
    </w:p>
    <w:p w14:paraId="377B1897" w14:textId="77777777" w:rsidR="00544D40" w:rsidRPr="00BC287B" w:rsidRDefault="00544D40" w:rsidP="00544D40">
      <w:pPr>
        <w:rPr>
          <w:rFonts w:ascii="Helvetica Neue" w:hAnsi="Helvetica Neue"/>
          <w:color w:val="7F7F7F" w:themeColor="text1" w:themeTint="80"/>
        </w:rPr>
      </w:pPr>
      <w:r w:rsidRPr="00BC287B">
        <w:rPr>
          <w:rFonts w:ascii="Helvetica Neue" w:hAnsi="Helvetica Neue"/>
          <w:color w:val="7F7F7F" w:themeColor="text1" w:themeTint="80"/>
        </w:rPr>
        <w:t>CV Ronald Muts</w:t>
      </w:r>
    </w:p>
    <w:p w14:paraId="086B3672" w14:textId="77777777" w:rsidR="00544D40" w:rsidRDefault="00544D40" w:rsidP="00544D40">
      <w:pPr>
        <w:rPr>
          <w:rFonts w:ascii="Helvetica" w:eastAsia="Times New Roman" w:hAnsi="Helvetica" w:cs="Times New Roman"/>
          <w:color w:val="777777"/>
          <w:sz w:val="21"/>
          <w:szCs w:val="21"/>
          <w:shd w:val="clear" w:color="auto" w:fill="FFFFFF"/>
        </w:rPr>
      </w:pPr>
      <w:r>
        <w:rPr>
          <w:noProof/>
          <w:lang w:eastAsia="nl-NL"/>
        </w:rPr>
        <w:drawing>
          <wp:anchor distT="0" distB="0" distL="114300" distR="114300" simplePos="0" relativeHeight="251658240" behindDoc="1" locked="0" layoutInCell="1" allowOverlap="1" wp14:anchorId="2A08AA92" wp14:editId="29846700">
            <wp:simplePos x="0" y="0"/>
            <wp:positionH relativeFrom="column">
              <wp:posOffset>0</wp:posOffset>
            </wp:positionH>
            <wp:positionV relativeFrom="paragraph">
              <wp:posOffset>101146</wp:posOffset>
            </wp:positionV>
            <wp:extent cx="934357" cy="1401639"/>
            <wp:effectExtent l="0" t="0" r="5715" b="0"/>
            <wp:wrapTight wrapText="bothSides">
              <wp:wrapPolygon edited="0">
                <wp:start x="0" y="0"/>
                <wp:lineTo x="0" y="21336"/>
                <wp:lineTo x="21438" y="21336"/>
                <wp:lineTo x="2143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357" cy="1401639"/>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color w:val="777777"/>
          <w:sz w:val="21"/>
          <w:szCs w:val="21"/>
          <w:shd w:val="clear" w:color="auto" w:fill="FFFFFF"/>
        </w:rPr>
        <w:t>Ronald Muts</w:t>
      </w:r>
      <w:r w:rsidRPr="0068420D">
        <w:rPr>
          <w:rFonts w:ascii="Helvetica" w:eastAsia="Times New Roman" w:hAnsi="Helvetica" w:cs="Times New Roman"/>
          <w:color w:val="777777"/>
          <w:sz w:val="21"/>
          <w:szCs w:val="21"/>
          <w:shd w:val="clear" w:color="auto" w:fill="FFFFFF"/>
        </w:rPr>
        <w:t xml:space="preserve"> studeerde tandheelkunde aan de </w:t>
      </w:r>
      <w:r>
        <w:rPr>
          <w:rFonts w:ascii="Helvetica" w:eastAsia="Times New Roman" w:hAnsi="Helvetica" w:cs="Times New Roman"/>
          <w:color w:val="777777"/>
          <w:sz w:val="21"/>
          <w:szCs w:val="21"/>
          <w:shd w:val="clear" w:color="auto" w:fill="FFFFFF"/>
        </w:rPr>
        <w:t xml:space="preserve">Universiteit van Amsterdam (later ACTA) van 1979 tot 1984. Sinds 1984 heeft hij een eigen praktijk in Apeldoorn. Hij ontwikkelde een vroege interesse in de biologische aspecten van de tandheelkunde. </w:t>
      </w:r>
      <w:r w:rsidRPr="0068420D">
        <w:rPr>
          <w:rFonts w:ascii="Helvetica" w:eastAsia="Times New Roman" w:hAnsi="Helvetica" w:cs="Times New Roman"/>
          <w:color w:val="777777"/>
          <w:sz w:val="21"/>
          <w:szCs w:val="21"/>
          <w:shd w:val="clear" w:color="auto" w:fill="FFFFFF"/>
        </w:rPr>
        <w:t xml:space="preserve">Hij </w:t>
      </w:r>
      <w:r>
        <w:rPr>
          <w:rFonts w:ascii="Helvetica" w:eastAsia="Times New Roman" w:hAnsi="Helvetica" w:cs="Times New Roman"/>
          <w:color w:val="777777"/>
          <w:sz w:val="21"/>
          <w:szCs w:val="21"/>
          <w:shd w:val="clear" w:color="auto" w:fill="FFFFFF"/>
        </w:rPr>
        <w:t xml:space="preserve">is hoofdredacteur en redacteur geweest van het Nederlands Tijdschrift voor Bio-energetische Tandheelkunde. </w:t>
      </w:r>
      <w:r w:rsidRPr="0068420D">
        <w:rPr>
          <w:rFonts w:ascii="Helvetica" w:eastAsia="Times New Roman" w:hAnsi="Helvetica" w:cs="Times New Roman"/>
          <w:color w:val="777777"/>
          <w:sz w:val="21"/>
          <w:szCs w:val="21"/>
          <w:shd w:val="clear" w:color="auto" w:fill="FFFFFF"/>
        </w:rPr>
        <w:t xml:space="preserve">Hij </w:t>
      </w:r>
      <w:r>
        <w:rPr>
          <w:rFonts w:ascii="Helvetica" w:eastAsia="Times New Roman" w:hAnsi="Helvetica" w:cs="Times New Roman"/>
          <w:color w:val="777777"/>
          <w:sz w:val="21"/>
          <w:szCs w:val="21"/>
          <w:shd w:val="clear" w:color="auto" w:fill="FFFFFF"/>
        </w:rPr>
        <w:t xml:space="preserve">heeft veel ervaring met chirurgische haardsanering en past al ruim 10 jaar </w:t>
      </w:r>
      <w:proofErr w:type="spellStart"/>
      <w:r>
        <w:rPr>
          <w:rFonts w:ascii="Helvetica" w:eastAsia="Times New Roman" w:hAnsi="Helvetica" w:cs="Times New Roman"/>
          <w:color w:val="777777"/>
          <w:sz w:val="21"/>
          <w:szCs w:val="21"/>
          <w:shd w:val="clear" w:color="auto" w:fill="FFFFFF"/>
        </w:rPr>
        <w:t>zirconium</w:t>
      </w:r>
      <w:proofErr w:type="spellEnd"/>
      <w:r>
        <w:rPr>
          <w:rFonts w:ascii="Helvetica" w:eastAsia="Times New Roman" w:hAnsi="Helvetica" w:cs="Times New Roman"/>
          <w:color w:val="777777"/>
          <w:sz w:val="21"/>
          <w:szCs w:val="21"/>
          <w:shd w:val="clear" w:color="auto" w:fill="FFFFFF"/>
        </w:rPr>
        <w:t xml:space="preserve"> implantaten toe. In zijn streven naar verbeteringen in tandheelkundige behandelresultaten maakt hij veelvuldig gebruik van voedingssupplementen. Momenteel werkt hij in zijn familiepraktijk MP3 Tandartsen samen met 4 andere tandartsen die ieder hun eigen deelspecialisaties hebben. Chirurgie, </w:t>
      </w:r>
      <w:proofErr w:type="spellStart"/>
      <w:r>
        <w:rPr>
          <w:rFonts w:ascii="Helvetica" w:eastAsia="Times New Roman" w:hAnsi="Helvetica" w:cs="Times New Roman"/>
          <w:color w:val="777777"/>
          <w:sz w:val="21"/>
          <w:szCs w:val="21"/>
          <w:shd w:val="clear" w:color="auto" w:fill="FFFFFF"/>
        </w:rPr>
        <w:t>implantologie</w:t>
      </w:r>
      <w:proofErr w:type="spellEnd"/>
      <w:r>
        <w:rPr>
          <w:rFonts w:ascii="Helvetica" w:eastAsia="Times New Roman" w:hAnsi="Helvetica" w:cs="Times New Roman"/>
          <w:color w:val="777777"/>
          <w:sz w:val="21"/>
          <w:szCs w:val="21"/>
          <w:shd w:val="clear" w:color="auto" w:fill="FFFFFF"/>
        </w:rPr>
        <w:t xml:space="preserve">, biologische tandheelkunde en </w:t>
      </w:r>
      <w:proofErr w:type="spellStart"/>
      <w:r>
        <w:rPr>
          <w:rFonts w:ascii="Helvetica" w:eastAsia="Times New Roman" w:hAnsi="Helvetica" w:cs="Times New Roman"/>
          <w:color w:val="777777"/>
          <w:sz w:val="21"/>
          <w:szCs w:val="21"/>
          <w:shd w:val="clear" w:color="auto" w:fill="FFFFFF"/>
        </w:rPr>
        <w:t>Invisalign</w:t>
      </w:r>
      <w:proofErr w:type="spellEnd"/>
      <w:r>
        <w:rPr>
          <w:rFonts w:ascii="Helvetica" w:eastAsia="Times New Roman" w:hAnsi="Helvetica" w:cs="Times New Roman"/>
          <w:color w:val="777777"/>
          <w:sz w:val="21"/>
          <w:szCs w:val="21"/>
          <w:shd w:val="clear" w:color="auto" w:fill="FFFFFF"/>
        </w:rPr>
        <w:t xml:space="preserve"> behoren naast de algemene tandheelkunde tot zijn deelspecialisaties. Hij heeft diverse publicaties op zijn naam staan en heeft diverse lezingen gegeven waaronder in Nederland, Duitsland, Spanje, China en Rusland. Hij is een door de Swiss </w:t>
      </w:r>
      <w:proofErr w:type="spellStart"/>
      <w:r>
        <w:rPr>
          <w:rFonts w:ascii="Helvetica" w:eastAsia="Times New Roman" w:hAnsi="Helvetica" w:cs="Times New Roman"/>
          <w:color w:val="777777"/>
          <w:sz w:val="21"/>
          <w:szCs w:val="21"/>
          <w:shd w:val="clear" w:color="auto" w:fill="FFFFFF"/>
        </w:rPr>
        <w:t>BioHealth</w:t>
      </w:r>
      <w:proofErr w:type="spellEnd"/>
      <w:r>
        <w:rPr>
          <w:rFonts w:ascii="Helvetica" w:eastAsia="Times New Roman" w:hAnsi="Helvetica" w:cs="Times New Roman"/>
          <w:color w:val="777777"/>
          <w:sz w:val="21"/>
          <w:szCs w:val="21"/>
          <w:shd w:val="clear" w:color="auto" w:fill="FFFFFF"/>
        </w:rPr>
        <w:t xml:space="preserve"> </w:t>
      </w:r>
      <w:proofErr w:type="spellStart"/>
      <w:r>
        <w:rPr>
          <w:rFonts w:ascii="Helvetica" w:eastAsia="Times New Roman" w:hAnsi="Helvetica" w:cs="Times New Roman"/>
          <w:color w:val="777777"/>
          <w:sz w:val="21"/>
          <w:szCs w:val="21"/>
          <w:shd w:val="clear" w:color="auto" w:fill="FFFFFF"/>
        </w:rPr>
        <w:t>Clinic</w:t>
      </w:r>
      <w:proofErr w:type="spellEnd"/>
      <w:r>
        <w:rPr>
          <w:rFonts w:ascii="Helvetica" w:eastAsia="Times New Roman" w:hAnsi="Helvetica" w:cs="Times New Roman"/>
          <w:color w:val="777777"/>
          <w:sz w:val="21"/>
          <w:szCs w:val="21"/>
          <w:shd w:val="clear" w:color="auto" w:fill="FFFFFF"/>
        </w:rPr>
        <w:t xml:space="preserve"> erkende specialist keramische implantaten en biologische tandheelkunde.</w:t>
      </w:r>
    </w:p>
    <w:p w14:paraId="141461DF" w14:textId="77777777" w:rsidR="00AD5438" w:rsidRDefault="00AD5438" w:rsidP="00544D40">
      <w:pPr>
        <w:rPr>
          <w:rFonts w:ascii="Helvetica" w:eastAsia="Times New Roman" w:hAnsi="Helvetica" w:cs="Times New Roman"/>
          <w:color w:val="777777"/>
          <w:sz w:val="21"/>
          <w:szCs w:val="21"/>
          <w:shd w:val="clear" w:color="auto" w:fill="FFFFFF"/>
        </w:rPr>
      </w:pPr>
    </w:p>
    <w:p w14:paraId="6CFB732A" w14:textId="77777777" w:rsidR="007F3BA9" w:rsidRDefault="00BD43AA" w:rsidP="007F3BA9">
      <w:pPr>
        <w:shd w:val="clear" w:color="auto" w:fill="FFFFFF"/>
        <w:ind w:left="1701" w:hanging="1701"/>
      </w:pPr>
      <w:r>
        <w:rPr>
          <w:rFonts w:ascii="Helvetica" w:eastAsia="Times New Roman" w:hAnsi="Helvetica" w:cs="Times New Roman"/>
          <w:noProof/>
          <w:color w:val="777777"/>
          <w:sz w:val="21"/>
          <w:szCs w:val="21"/>
          <w:shd w:val="clear" w:color="auto" w:fill="FFFFFF"/>
          <w:lang w:eastAsia="nl-NL"/>
        </w:rPr>
        <w:drawing>
          <wp:anchor distT="0" distB="0" distL="114300" distR="114300" simplePos="0" relativeHeight="251659264" behindDoc="0" locked="0" layoutInCell="1" allowOverlap="1" wp14:anchorId="57703B2C" wp14:editId="079AEE77">
            <wp:simplePos x="0" y="0"/>
            <wp:positionH relativeFrom="column">
              <wp:posOffset>0</wp:posOffset>
            </wp:positionH>
            <wp:positionV relativeFrom="paragraph">
              <wp:posOffset>635</wp:posOffset>
            </wp:positionV>
            <wp:extent cx="997797" cy="1496604"/>
            <wp:effectExtent l="0" t="0" r="0" b="2540"/>
            <wp:wrapThrough wrapText="bothSides">
              <wp:wrapPolygon edited="0">
                <wp:start x="0" y="0"/>
                <wp:lineTo x="0" y="21270"/>
                <wp:lineTo x="20899" y="21270"/>
                <wp:lineTo x="20899" y="0"/>
                <wp:lineTo x="0" y="0"/>
              </wp:wrapPolygon>
            </wp:wrapThrough>
            <wp:docPr id="1" name="Afbeelding 1" descr="../../../../../../../Dropbox/Edudentaal/Cursussen/Oud/2015-01,%20Vlieland/Foto's%20sprekers/Foto%20Winkelhoff%20z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Edudentaal/Cursussen/Oud/2015-01,%20Vlieland/Foto's%20sprekers/Foto%20Winkelhoff%20z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797" cy="1496604"/>
                    </a:xfrm>
                    <a:prstGeom prst="rect">
                      <a:avLst/>
                    </a:prstGeom>
                    <a:noFill/>
                    <a:ln>
                      <a:noFill/>
                    </a:ln>
                  </pic:spPr>
                </pic:pic>
              </a:graphicData>
            </a:graphic>
            <wp14:sizeRelH relativeFrom="page">
              <wp14:pctWidth>0</wp14:pctWidth>
            </wp14:sizeRelH>
            <wp14:sizeRelV relativeFrom="page">
              <wp14:pctHeight>0</wp14:pctHeight>
            </wp14:sizeRelV>
          </wp:anchor>
        </w:drawing>
      </w:r>
      <w:r w:rsidR="007F3BA9" w:rsidRPr="007F3BA9">
        <w:rPr>
          <w:shd w:val="clear" w:color="auto" w:fill="FFFFFF"/>
        </w:rPr>
        <w:t xml:space="preserve"> </w:t>
      </w:r>
      <w:r w:rsidR="007F3BA9" w:rsidRPr="007F3BA9">
        <w:rPr>
          <w:rFonts w:ascii="Helvetica" w:hAnsi="Helvetica"/>
          <w:color w:val="7F7F7F" w:themeColor="text1" w:themeTint="80"/>
          <w:sz w:val="21"/>
          <w:shd w:val="clear" w:color="auto" w:fill="FFFFFF"/>
        </w:rPr>
        <w:t xml:space="preserve">Arie Jan van </w:t>
      </w:r>
      <w:proofErr w:type="spellStart"/>
      <w:r w:rsidR="007F3BA9" w:rsidRPr="007F3BA9">
        <w:rPr>
          <w:rFonts w:ascii="Helvetica" w:hAnsi="Helvetica"/>
          <w:color w:val="7F7F7F" w:themeColor="text1" w:themeTint="80"/>
          <w:sz w:val="21"/>
          <w:shd w:val="clear" w:color="auto" w:fill="FFFFFF"/>
        </w:rPr>
        <w:t>Winkelhoff</w:t>
      </w:r>
      <w:proofErr w:type="spellEnd"/>
      <w:r w:rsidR="007F3BA9" w:rsidRPr="007F3BA9">
        <w:rPr>
          <w:rFonts w:ascii="Helvetica" w:hAnsi="Helvetica"/>
          <w:color w:val="7F7F7F" w:themeColor="text1" w:themeTint="80"/>
          <w:sz w:val="21"/>
          <w:shd w:val="clear" w:color="auto" w:fill="FFFFFF"/>
        </w:rPr>
        <w:t xml:space="preserve"> is als hoogleraar verbonden aan het Universitair Medisch Centrum Groningen van de Rijksuniversiteit Groningen. Naast zijn we</w:t>
      </w:r>
      <w:r w:rsidR="00BC4E09">
        <w:rPr>
          <w:rFonts w:ascii="Helvetica" w:hAnsi="Helvetica"/>
          <w:color w:val="7F7F7F" w:themeColor="text1" w:themeTint="80"/>
          <w:sz w:val="21"/>
          <w:shd w:val="clear" w:color="auto" w:fill="FFFFFF"/>
        </w:rPr>
        <w:t>rkzaamheden aan de RUG is hij m</w:t>
      </w:r>
      <w:r w:rsidR="007F3BA9" w:rsidRPr="007F3BA9">
        <w:rPr>
          <w:rFonts w:ascii="Helvetica" w:hAnsi="Helvetica"/>
          <w:color w:val="7F7F7F" w:themeColor="text1" w:themeTint="80"/>
          <w:sz w:val="21"/>
          <w:shd w:val="clear" w:color="auto" w:fill="FFFFFF"/>
        </w:rPr>
        <w:t xml:space="preserve">ede-eigenaar van </w:t>
      </w:r>
      <w:proofErr w:type="spellStart"/>
      <w:r w:rsidR="007F3BA9" w:rsidRPr="007F3BA9">
        <w:rPr>
          <w:rFonts w:ascii="Helvetica" w:hAnsi="Helvetica"/>
          <w:color w:val="7F7F7F" w:themeColor="text1" w:themeTint="80"/>
          <w:sz w:val="21"/>
          <w:shd w:val="clear" w:color="auto" w:fill="FFFFFF"/>
        </w:rPr>
        <w:t>Laboral</w:t>
      </w:r>
      <w:proofErr w:type="spellEnd"/>
      <w:r w:rsidR="007F3BA9" w:rsidRPr="007F3BA9">
        <w:rPr>
          <w:rFonts w:ascii="Helvetica" w:hAnsi="Helvetica"/>
          <w:color w:val="7F7F7F" w:themeColor="text1" w:themeTint="80"/>
          <w:sz w:val="21"/>
          <w:shd w:val="clear" w:color="auto" w:fill="FFFFFF"/>
        </w:rPr>
        <w:t xml:space="preserve"> </w:t>
      </w:r>
      <w:proofErr w:type="spellStart"/>
      <w:r w:rsidR="007F3BA9" w:rsidRPr="007F3BA9">
        <w:rPr>
          <w:rFonts w:ascii="Helvetica" w:hAnsi="Helvetica"/>
          <w:color w:val="7F7F7F" w:themeColor="text1" w:themeTint="80"/>
          <w:sz w:val="21"/>
          <w:shd w:val="clear" w:color="auto" w:fill="FFFFFF"/>
        </w:rPr>
        <w:t>Diagnostics</w:t>
      </w:r>
      <w:proofErr w:type="spellEnd"/>
      <w:r w:rsidR="007F3BA9" w:rsidRPr="007F3BA9">
        <w:rPr>
          <w:rFonts w:ascii="Helvetica" w:hAnsi="Helvetica"/>
          <w:color w:val="7F7F7F" w:themeColor="text1" w:themeTint="80"/>
          <w:sz w:val="21"/>
          <w:shd w:val="clear" w:color="auto" w:fill="FFFFFF"/>
        </w:rPr>
        <w:t xml:space="preserve"> en </w:t>
      </w:r>
      <w:proofErr w:type="spellStart"/>
      <w:r w:rsidR="007F3BA9" w:rsidRPr="007F3BA9">
        <w:rPr>
          <w:rFonts w:ascii="Helvetica" w:hAnsi="Helvetica"/>
          <w:color w:val="7F7F7F" w:themeColor="text1" w:themeTint="80"/>
          <w:sz w:val="21"/>
          <w:shd w:val="clear" w:color="auto" w:fill="FFFFFF"/>
        </w:rPr>
        <w:t>Laboral</w:t>
      </w:r>
      <w:proofErr w:type="spellEnd"/>
      <w:r w:rsidR="007F3BA9" w:rsidRPr="007F3BA9">
        <w:rPr>
          <w:rFonts w:ascii="Helvetica" w:hAnsi="Helvetica"/>
          <w:color w:val="7F7F7F" w:themeColor="text1" w:themeTint="80"/>
          <w:sz w:val="21"/>
          <w:shd w:val="clear" w:color="auto" w:fill="FFFFFF"/>
        </w:rPr>
        <w:t xml:space="preserve"> International, een service op het gebied van klinische microbiologie voor Tandheelkundige professionals</w:t>
      </w:r>
      <w:r w:rsidR="007F3BA9">
        <w:rPr>
          <w:shd w:val="clear" w:color="auto" w:fill="FFFFFF"/>
        </w:rPr>
        <w:t xml:space="preserve">. </w:t>
      </w:r>
    </w:p>
    <w:p w14:paraId="057DF338" w14:textId="77777777" w:rsidR="00AD5438" w:rsidRDefault="00AD5438" w:rsidP="00544D40">
      <w:pPr>
        <w:rPr>
          <w:rFonts w:ascii="Helvetica" w:eastAsia="Times New Roman" w:hAnsi="Helvetica" w:cs="Times New Roman"/>
          <w:color w:val="777777"/>
          <w:sz w:val="21"/>
          <w:szCs w:val="21"/>
          <w:shd w:val="clear" w:color="auto" w:fill="FFFFFF"/>
        </w:rPr>
      </w:pPr>
    </w:p>
    <w:p w14:paraId="4BE8609E" w14:textId="77777777" w:rsidR="000230BF" w:rsidRDefault="000230BF"/>
    <w:sectPr w:rsidR="000230BF" w:rsidSect="00F361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96F1E"/>
    <w:multiLevelType w:val="hybridMultilevel"/>
    <w:tmpl w:val="25C2E26A"/>
    <w:lvl w:ilvl="0" w:tplc="11D0B2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0"/>
    <w:rsid w:val="000230BF"/>
    <w:rsid w:val="00544D40"/>
    <w:rsid w:val="007F3BA9"/>
    <w:rsid w:val="0083365D"/>
    <w:rsid w:val="0084501F"/>
    <w:rsid w:val="00AD5438"/>
    <w:rsid w:val="00BC4E09"/>
    <w:rsid w:val="00BD43AA"/>
    <w:rsid w:val="00D53D3A"/>
    <w:rsid w:val="00DC0516"/>
    <w:rsid w:val="00E02A63"/>
    <w:rsid w:val="00F3612D"/>
    <w:rsid w:val="00F85F6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E07D"/>
  <w15:chartTrackingRefBased/>
  <w15:docId w15:val="{BEFF1B62-E0A4-A647-B9FC-4F685D85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44D40"/>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4D40"/>
    <w:pPr>
      <w:spacing w:after="0" w:line="240" w:lineRule="auto"/>
      <w:ind w:left="720"/>
    </w:pPr>
    <w:rPr>
      <w:rFonts w:ascii="Calibri" w:hAnsi="Calibri" w:cs="Times New Roman"/>
    </w:rPr>
  </w:style>
  <w:style w:type="table" w:styleId="Tabelraster">
    <w:name w:val="Table Grid"/>
    <w:basedOn w:val="Standaardtabel"/>
    <w:uiPriority w:val="39"/>
    <w:rsid w:val="00544D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Teken"/>
    <w:uiPriority w:val="99"/>
    <w:unhideWhenUsed/>
    <w:rsid w:val="00544D40"/>
    <w:pPr>
      <w:spacing w:after="0" w:line="240" w:lineRule="auto"/>
    </w:pPr>
    <w:rPr>
      <w:rFonts w:ascii="Calibri" w:hAnsi="Calibri"/>
      <w:szCs w:val="21"/>
    </w:rPr>
  </w:style>
  <w:style w:type="character" w:customStyle="1" w:styleId="TekstzonderopmaakTeken">
    <w:name w:val="Tekst zonder opmaak Teken"/>
    <w:basedOn w:val="Standaardalinea-lettertype"/>
    <w:link w:val="Tekstzonderopmaak"/>
    <w:uiPriority w:val="99"/>
    <w:rsid w:val="00544D4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956489-8295-6445-93A2-7EF2BECE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Paul Francois</cp:lastModifiedBy>
  <cp:revision>2</cp:revision>
  <cp:lastPrinted>2019-09-08T20:40:00Z</cp:lastPrinted>
  <dcterms:created xsi:type="dcterms:W3CDTF">2019-09-08T20:43:00Z</dcterms:created>
  <dcterms:modified xsi:type="dcterms:W3CDTF">2019-09-08T20:43:00Z</dcterms:modified>
</cp:coreProperties>
</file>